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40915" w14:textId="77777777" w:rsidR="008A42F2" w:rsidRDefault="008A42F2" w:rsidP="008A42F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14:paraId="771D430B" w14:textId="77777777" w:rsidR="008A42F2" w:rsidRDefault="008A42F2" w:rsidP="008A42F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14:paraId="38A1E3B9" w14:textId="77777777" w:rsidR="008A42F2" w:rsidRDefault="008A42F2" w:rsidP="008A42F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14:paraId="35AA0B3F" w14:textId="77777777" w:rsidR="008A42F2" w:rsidRPr="008A42F2" w:rsidRDefault="008A42F2" w:rsidP="008A42F2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Concepto Nº 123</w:t>
      </w:r>
    </w:p>
    <w:p w14:paraId="577E3DF6" w14:textId="77777777" w:rsidR="008A42F2" w:rsidRPr="008A42F2" w:rsidRDefault="008A42F2" w:rsidP="008A42F2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14-12-2015</w:t>
      </w:r>
    </w:p>
    <w:p w14:paraId="211BEA8C" w14:textId="77777777" w:rsidR="008A42F2" w:rsidRPr="008A42F2" w:rsidRDefault="008A42F2" w:rsidP="008A42F2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Consejo Técnico de la Contaduría Pública</w:t>
      </w:r>
    </w:p>
    <w:p w14:paraId="4701D114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 </w:t>
      </w:r>
    </w:p>
    <w:p w14:paraId="2BBECC66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 </w:t>
      </w:r>
    </w:p>
    <w:p w14:paraId="51B4409E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Bogotá D. C.</w:t>
      </w:r>
    </w:p>
    <w:p w14:paraId="0B1FC5E4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5CF7832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Señor</w:t>
      </w:r>
    </w:p>
    <w:p w14:paraId="1E6F92BD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JULIÁN DAVID PEREZ R.</w:t>
      </w:r>
    </w:p>
    <w:p w14:paraId="395D2424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Calle 77 A No. 85-46 Apto 407</w:t>
      </w:r>
    </w:p>
    <w:p w14:paraId="45405DDB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hyperlink r:id="rId4" w:history="1">
        <w:proofErr w:type="spellStart"/>
        <w:r w:rsidRPr="008A42F2">
          <w:rPr>
            <w:rFonts w:eastAsia="Times New Roman" w:cs="Times New Roman"/>
            <w:szCs w:val="24"/>
            <w:lang w:eastAsia="es-CO"/>
          </w:rPr>
          <w:t>juliandprios@gmail.com</w:t>
        </w:r>
        <w:proofErr w:type="spellEnd"/>
      </w:hyperlink>
    </w:p>
    <w:p w14:paraId="515D802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Bogotá - Colombia</w:t>
      </w:r>
    </w:p>
    <w:p w14:paraId="0B0A8A6D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bookmarkStart w:id="0" w:name="bookmark0"/>
      <w:r w:rsidRPr="008A42F2">
        <w:rPr>
          <w:rFonts w:eastAsia="Times New Roman" w:cs="Times New Roman"/>
          <w:b/>
          <w:bCs/>
          <w:szCs w:val="24"/>
          <w:lang w:val="es-ES" w:eastAsia="es-CO"/>
        </w:rPr>
        <w:t> </w:t>
      </w:r>
      <w:bookmarkEnd w:id="0"/>
    </w:p>
    <w:p w14:paraId="2E6D2FCC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val="es-ES" w:eastAsia="es-CO"/>
        </w:rPr>
        <w:t>Asunto: </w:t>
      </w:r>
      <w:r w:rsidRPr="008A42F2">
        <w:rPr>
          <w:rFonts w:eastAsia="Times New Roman" w:cs="Times New Roman"/>
          <w:szCs w:val="24"/>
          <w:lang w:eastAsia="es-CO"/>
        </w:rPr>
        <w:t>Consulta</w:t>
      </w:r>
    </w:p>
    <w:p w14:paraId="2DCF616E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bookmarkStart w:id="1" w:name="bookmark1"/>
      <w:r w:rsidRPr="008A42F2">
        <w:rPr>
          <w:rFonts w:eastAsia="Times New Roman" w:cs="Times New Roman"/>
          <w:b/>
          <w:bCs/>
          <w:szCs w:val="24"/>
          <w:lang w:eastAsia="es-CO"/>
        </w:rPr>
        <w:t>Destino: </w:t>
      </w:r>
      <w:bookmarkEnd w:id="1"/>
      <w:r w:rsidRPr="008A42F2">
        <w:rPr>
          <w:rFonts w:eastAsia="Times New Roman" w:cs="Times New Roman"/>
          <w:szCs w:val="24"/>
          <w:lang w:eastAsia="es-CO"/>
        </w:rPr>
        <w:t>Externo</w:t>
      </w:r>
    </w:p>
    <w:p w14:paraId="07D974E8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bookmarkStart w:id="2" w:name="bookmark2"/>
      <w:r w:rsidRPr="008A42F2">
        <w:rPr>
          <w:rFonts w:eastAsia="Times New Roman" w:cs="Times New Roman"/>
          <w:b/>
          <w:bCs/>
          <w:szCs w:val="24"/>
          <w:lang w:eastAsia="es-CO"/>
        </w:rPr>
        <w:t>Origen: </w:t>
      </w:r>
      <w:bookmarkEnd w:id="2"/>
      <w:r w:rsidRPr="008A42F2">
        <w:rPr>
          <w:rFonts w:eastAsia="Times New Roman" w:cs="Times New Roman"/>
          <w:szCs w:val="24"/>
          <w:lang w:eastAsia="es-CO"/>
        </w:rPr>
        <w:t>10</w:t>
      </w:r>
    </w:p>
    <w:p w14:paraId="3C66A7BF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4262"/>
      </w:tblGrid>
      <w:tr w:rsidR="008A42F2" w:rsidRPr="008A42F2" w14:paraId="6F2340B3" w14:textId="77777777" w:rsidTr="008A42F2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1E75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REFERENCIA:</w:t>
            </w:r>
          </w:p>
        </w:tc>
      </w:tr>
      <w:tr w:rsidR="008A42F2" w:rsidRPr="008A42F2" w14:paraId="028270A4" w14:textId="77777777" w:rsidTr="008A42F2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F6D5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Fecha de la Consulta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211E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24 de febrero de 2015</w:t>
            </w:r>
          </w:p>
        </w:tc>
      </w:tr>
      <w:tr w:rsidR="008A42F2" w:rsidRPr="008A42F2" w14:paraId="5C802016" w14:textId="77777777" w:rsidTr="008A42F2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F6E7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Entidad de Origen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E605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Consejo Técnico de la Contaduría Pública</w:t>
            </w:r>
          </w:p>
        </w:tc>
      </w:tr>
      <w:tr w:rsidR="008A42F2" w:rsidRPr="008A42F2" w14:paraId="06059D68" w14:textId="77777777" w:rsidTr="008A42F2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D6C4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N° de Radicación CTCP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F0D2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2015- 123 – CONSULTA</w:t>
            </w:r>
          </w:p>
        </w:tc>
      </w:tr>
      <w:tr w:rsidR="008A42F2" w:rsidRPr="008A42F2" w14:paraId="2DEE01F2" w14:textId="77777777" w:rsidTr="008A42F2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4EA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85DC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DECRETO 302 DE 2015</w:t>
            </w:r>
          </w:p>
        </w:tc>
      </w:tr>
    </w:tbl>
    <w:p w14:paraId="1ECD5D2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477BA2DE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6D240898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El Consejo Técnico de la Contaduría Pública (CTCP) en su carácter de organismo gubernamental de normalización técnica de normas contables, de información financiera y de aseguramiento de la información, de acuerdo con lo dispuesto en el parágrafo 2 del artículo 3 del decreto 2784 de 2012, el parágrafo 3 del artículo 3 del decreto 2706 de 2012, el parágrafo 2 del artículo 3 del decreto 3022 de 2013 y el decreto 0302 de 2015, resolverá las inquietudes que se formulen en la aplicación de los marcos técnicos normativos de información financiera. En desarrollo de esta facultad procede a responder una consulta.</w:t>
      </w:r>
    </w:p>
    <w:p w14:paraId="1A6AA948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08ECDE97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CONSULTA (TEXTUAL)</w:t>
      </w:r>
    </w:p>
    <w:p w14:paraId="0223F983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 </w:t>
      </w:r>
    </w:p>
    <w:p w14:paraId="3927C1F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“(...)</w:t>
      </w:r>
    </w:p>
    <w:p w14:paraId="45494DD1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1. El número de trabajadores y el nivel de activos que se debe utilizar para determinar cuáles entidades del grupo 2,</w:t>
      </w:r>
      <w:r w:rsidRPr="008A42F2">
        <w:rPr>
          <w:rFonts w:eastAsia="Times New Roman" w:cs="Times New Roman"/>
          <w:i/>
          <w:iCs/>
          <w:szCs w:val="24"/>
          <w:lang w:val="es-ES" w:eastAsia="es-CO"/>
        </w:rPr>
        <w:t> cuyos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revisores fiscales deberán en su integridad (sic) el marco de aseguramiento de la información</w:t>
      </w:r>
      <w:r w:rsidRPr="008A42F2">
        <w:rPr>
          <w:rFonts w:eastAsia="Times New Roman" w:cs="Times New Roman"/>
          <w:i/>
          <w:iCs/>
          <w:szCs w:val="24"/>
          <w:lang w:val="es-ES" w:eastAsia="es-CO"/>
        </w:rPr>
        <w:t>,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es el mismo determinado en el artículo 1 del Decreto 2784 de 2012?</w:t>
      </w:r>
    </w:p>
    <w:p w14:paraId="283B2C0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(...)</w:t>
      </w:r>
    </w:p>
    <w:p w14:paraId="01151856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2. El artículo 7 de esta disposición indica que los </w:t>
      </w: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contadores públicos que presten el servicio de revisoría fiscal,</w:t>
      </w:r>
      <w:r w:rsidRPr="008A42F2">
        <w:rPr>
          <w:rFonts w:eastAsia="Times New Roman" w:cs="Times New Roman"/>
          <w:i/>
          <w:iCs/>
          <w:szCs w:val="24"/>
          <w:lang w:eastAsia="es-CO"/>
        </w:rPr>
        <w:t> auditoria de información financiera, revisión de información financiera histórica u otros trabajos de aseguramiento </w:t>
      </w: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aplicarán las </w:t>
      </w:r>
      <w:r w:rsidRPr="008A42F2">
        <w:rPr>
          <w:rFonts w:eastAsia="Times New Roman" w:cs="Times New Roman"/>
          <w:b/>
          <w:bCs/>
          <w:i/>
          <w:iCs/>
          <w:szCs w:val="24"/>
          <w:lang w:val="es-ES" w:eastAsia="es-CO"/>
        </w:rPr>
        <w:t>NICC.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Quiere esto decir, que los revisores fiscales y los contadores públicos de las entidades no mencionadas en el artículo 2 del decreto 302 del 2015, deberán aplicar de manera obligatoria lo (sic) procedimientos de auditoria que se encuentran actualmente vigentes y adicionalmente las NICC</w:t>
      </w:r>
      <w:proofErr w:type="gramStart"/>
      <w:r w:rsidRPr="008A42F2">
        <w:rPr>
          <w:rFonts w:eastAsia="Times New Roman" w:cs="Times New Roman"/>
          <w:i/>
          <w:iCs/>
          <w:szCs w:val="24"/>
          <w:lang w:eastAsia="es-CO"/>
        </w:rPr>
        <w:t>?.</w:t>
      </w:r>
      <w:proofErr w:type="gramEnd"/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 Siendo para este caso voluntario el uso de las NIA y las ISAE?</w:t>
      </w:r>
    </w:p>
    <w:p w14:paraId="21533E2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(...)</w:t>
      </w:r>
    </w:p>
    <w:p w14:paraId="1184771A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3. Al mencionar a los contadores públicos en general, sin excepción alguna, incluye esta norma a los revisores fiscales</w:t>
      </w:r>
      <w:proofErr w:type="gramStart"/>
      <w:r w:rsidRPr="008A42F2">
        <w:rPr>
          <w:rFonts w:eastAsia="Times New Roman" w:cs="Times New Roman"/>
          <w:i/>
          <w:iCs/>
          <w:szCs w:val="24"/>
          <w:lang w:eastAsia="es-CO"/>
        </w:rPr>
        <w:t>?</w:t>
      </w:r>
      <w:proofErr w:type="gramEnd"/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 Debe tenerse en cuenta que para poder ejercer como </w:t>
      </w:r>
      <w:r w:rsidRPr="008A42F2">
        <w:rPr>
          <w:rFonts w:eastAsia="Times New Roman" w:cs="Times New Roman"/>
          <w:i/>
          <w:iCs/>
          <w:szCs w:val="24"/>
          <w:lang w:eastAsia="es-CO"/>
        </w:rPr>
        <w:lastRenderedPageBreak/>
        <w:t>revisor fiscal, se debe ser contador público</w:t>
      </w:r>
      <w:r w:rsidRPr="008A42F2">
        <w:rPr>
          <w:rFonts w:eastAsia="Times New Roman" w:cs="Times New Roman"/>
          <w:i/>
          <w:iCs/>
          <w:szCs w:val="24"/>
          <w:lang w:val="es-ES" w:eastAsia="es-CO"/>
        </w:rPr>
        <w:t> y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que adicionalmente uno de los trabajos que realiza el revisor fiscal, es el de auditoria de información financiera.</w:t>
      </w:r>
    </w:p>
    <w:p w14:paraId="21D9D502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4. Debería interpretarse el artículo</w:t>
      </w:r>
      <w:r w:rsidRPr="008A42F2">
        <w:rPr>
          <w:rFonts w:eastAsia="Times New Roman" w:cs="Times New Roman"/>
          <w:i/>
          <w:iCs/>
          <w:szCs w:val="24"/>
          <w:lang w:val="es-ES" w:eastAsia="es-CO"/>
        </w:rPr>
        <w:t> 8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del Decreto 302 del 2015 en consonancia con el parágrafo del artículo 2 del citado Decreto 302</w:t>
      </w:r>
      <w:proofErr w:type="gramStart"/>
      <w:r w:rsidRPr="008A42F2">
        <w:rPr>
          <w:rFonts w:eastAsia="Times New Roman" w:cs="Times New Roman"/>
          <w:i/>
          <w:iCs/>
          <w:szCs w:val="24"/>
          <w:lang w:eastAsia="es-CO"/>
        </w:rPr>
        <w:t>?</w:t>
      </w:r>
      <w:proofErr w:type="gramEnd"/>
    </w:p>
    <w:p w14:paraId="3CCD8488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5. Al parecer existe una contradicción, pues el parágrafo del </w:t>
      </w:r>
      <w:proofErr w:type="spellStart"/>
      <w:r w:rsidRPr="008A42F2">
        <w:rPr>
          <w:rFonts w:eastAsia="Times New Roman" w:cs="Times New Roman"/>
          <w:i/>
          <w:iCs/>
          <w:szCs w:val="24"/>
          <w:lang w:eastAsia="es-CO"/>
        </w:rPr>
        <w:t>articulo</w:t>
      </w:r>
      <w:proofErr w:type="spellEnd"/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 2 del Decreto 302 del 2015, permite la aplicación voluntaria de ciertas NAI, pero el </w:t>
      </w:r>
      <w:proofErr w:type="spellStart"/>
      <w:r w:rsidRPr="008A42F2">
        <w:rPr>
          <w:rFonts w:eastAsia="Times New Roman" w:cs="Times New Roman"/>
          <w:i/>
          <w:iCs/>
          <w:szCs w:val="24"/>
          <w:lang w:eastAsia="es-CO"/>
        </w:rPr>
        <w:t>articulo</w:t>
      </w:r>
      <w:proofErr w:type="spellEnd"/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 8 las exige</w:t>
      </w:r>
      <w:proofErr w:type="gramStart"/>
      <w:r w:rsidRPr="008A42F2">
        <w:rPr>
          <w:rFonts w:eastAsia="Times New Roman" w:cs="Times New Roman"/>
          <w:i/>
          <w:iCs/>
          <w:szCs w:val="24"/>
          <w:lang w:eastAsia="es-CO"/>
        </w:rPr>
        <w:t>?.</w:t>
      </w:r>
      <w:proofErr w:type="gramEnd"/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 Como se debe entender esto</w:t>
      </w:r>
      <w:proofErr w:type="gramStart"/>
      <w:r w:rsidRPr="008A42F2">
        <w:rPr>
          <w:rFonts w:eastAsia="Times New Roman" w:cs="Times New Roman"/>
          <w:i/>
          <w:iCs/>
          <w:szCs w:val="24"/>
          <w:lang w:eastAsia="es-CO"/>
        </w:rPr>
        <w:t>?</w:t>
      </w:r>
      <w:proofErr w:type="gramEnd"/>
    </w:p>
    <w:p w14:paraId="33622C96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6. La disyuntiva “o las NISR” que significa</w:t>
      </w:r>
      <w:proofErr w:type="gramStart"/>
      <w:r w:rsidRPr="008A42F2">
        <w:rPr>
          <w:rFonts w:eastAsia="Times New Roman" w:cs="Times New Roman"/>
          <w:i/>
          <w:iCs/>
          <w:szCs w:val="24"/>
          <w:lang w:eastAsia="es-CO"/>
        </w:rPr>
        <w:t>?</w:t>
      </w:r>
      <w:proofErr w:type="gramEnd"/>
    </w:p>
    <w:p w14:paraId="58554A1C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7. Finalmente agradezco su ayuda, </w:t>
      </w:r>
      <w:proofErr w:type="spellStart"/>
      <w:r w:rsidRPr="008A42F2">
        <w:rPr>
          <w:rFonts w:eastAsia="Times New Roman" w:cs="Times New Roman"/>
          <w:i/>
          <w:iCs/>
          <w:szCs w:val="24"/>
          <w:lang w:eastAsia="es-CO"/>
        </w:rPr>
        <w:t>via</w:t>
      </w:r>
      <w:proofErr w:type="spellEnd"/>
      <w:r w:rsidRPr="008A42F2">
        <w:rPr>
          <w:rFonts w:eastAsia="Times New Roman" w:cs="Times New Roman"/>
          <w:i/>
          <w:iCs/>
          <w:szCs w:val="24"/>
          <w:lang w:eastAsia="es-CO"/>
        </w:rPr>
        <w:t xml:space="preserve"> interpretación de la norma a través de la doctrina, que el siguiente cuadro sea diligenciado con el fin de aclarar esta confusión causada por el Decreto 302 del 2015</w:t>
      </w:r>
    </w:p>
    <w:p w14:paraId="5B090949" w14:textId="77777777" w:rsidR="008A42F2" w:rsidRPr="008A42F2" w:rsidRDefault="008A42F2" w:rsidP="008A42F2">
      <w:pPr>
        <w:spacing w:after="0" w:line="240" w:lineRule="auto"/>
        <w:ind w:left="284"/>
        <w:jc w:val="center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655"/>
        <w:gridCol w:w="403"/>
        <w:gridCol w:w="390"/>
        <w:gridCol w:w="422"/>
        <w:gridCol w:w="408"/>
        <w:gridCol w:w="415"/>
        <w:gridCol w:w="402"/>
        <w:gridCol w:w="403"/>
        <w:gridCol w:w="390"/>
        <w:gridCol w:w="403"/>
        <w:gridCol w:w="390"/>
        <w:gridCol w:w="469"/>
        <w:gridCol w:w="454"/>
      </w:tblGrid>
      <w:tr w:rsidR="008A42F2" w:rsidRPr="008A42F2" w14:paraId="7955F6D4" w14:textId="77777777" w:rsidTr="008A42F2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0BB1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SUJETO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346E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NIA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4378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NICC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0E77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NITR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A3BA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ISAE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EEC3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NISR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8C2A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NAGA</w:t>
            </w:r>
          </w:p>
        </w:tc>
      </w:tr>
      <w:tr w:rsidR="008A42F2" w:rsidRPr="008A42F2" w14:paraId="52B14046" w14:textId="77777777" w:rsidTr="008A42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1F78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3338E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Revisores fiscales de entidades del grupo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BD42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4B51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4110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C61A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8B45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95E7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B5D5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6A0C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14A5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D6F5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46C1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141B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b/>
                <w:bCs/>
                <w:szCs w:val="24"/>
                <w:lang w:eastAsia="es-CO"/>
              </w:rPr>
              <w:t>V</w:t>
            </w:r>
          </w:p>
        </w:tc>
      </w:tr>
      <w:tr w:rsidR="008A42F2" w:rsidRPr="008A42F2" w14:paraId="6EE21BF1" w14:textId="77777777" w:rsidTr="008A42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AFEB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B930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Revisores fiscales de entidades del grupo 2 con activos superiores a 30.000 SMMLV o más de 200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5927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0A9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A331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6232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F85F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370C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755D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5ED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CAE2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F2FB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4778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C0F3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</w:tr>
      <w:tr w:rsidR="008A42F2" w:rsidRPr="008A42F2" w14:paraId="6FFD1978" w14:textId="77777777" w:rsidTr="008A42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DB84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0579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 xml:space="preserve">Revisores fiscales de entidades diferentes a las mencionadas en 1. </w:t>
            </w:r>
            <w:proofErr w:type="gramStart"/>
            <w:r w:rsidRPr="008A42F2">
              <w:rPr>
                <w:rFonts w:eastAsia="Times New Roman" w:cs="Times New Roman"/>
                <w:szCs w:val="24"/>
                <w:lang w:eastAsia="es-CO"/>
              </w:rPr>
              <w:t>y</w:t>
            </w:r>
            <w:proofErr w:type="gramEnd"/>
            <w:r w:rsidRPr="008A42F2">
              <w:rPr>
                <w:rFonts w:eastAsia="Times New Roman" w:cs="Times New Roman"/>
                <w:szCs w:val="24"/>
                <w:lang w:eastAsia="es-CO"/>
              </w:rPr>
              <w:t xml:space="preserve"> n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AA80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DE7F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7A7D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EAC5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6DD9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CEFC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7961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644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53DC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E4D5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84E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CE10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</w:tr>
      <w:tr w:rsidR="008A42F2" w:rsidRPr="008A42F2" w14:paraId="51BFFC35" w14:textId="77777777" w:rsidTr="008A42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12BE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6F07D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Contador público que preste el servicio de revisoría fiscal, auditoría de información financiera, revisión de información financiera histórica u otros trabajos de aseguramiento. Artículo 7 Decreto 302 de 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FA14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7EBF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90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F4CE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3329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B22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E247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A2B9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6062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6CE3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1FC5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CA91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</w:tr>
      <w:tr w:rsidR="008A42F2" w:rsidRPr="008A42F2" w14:paraId="28289899" w14:textId="77777777" w:rsidTr="008A42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6DCC" w14:textId="77777777" w:rsidR="008A42F2" w:rsidRPr="008A42F2" w:rsidRDefault="008A42F2" w:rsidP="008A4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FE34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Contador público que realice trabajos de auditoria de información financiera, revisión de información financiera histórica u otros trabajos de aseguramiento u otros servicios profesionales. Artículo 7 Decreto 302 de 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FB97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9C83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FA1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66DF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7863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6613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C756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FF50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8E6F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013A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0428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568F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</w:tr>
      <w:tr w:rsidR="008A42F2" w:rsidRPr="008A42F2" w14:paraId="7DEB08AD" w14:textId="77777777" w:rsidTr="008A42F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E798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O:</w:t>
            </w:r>
          </w:p>
          <w:p w14:paraId="2B2B8D09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V:</w:t>
            </w:r>
          </w:p>
          <w:p w14:paraId="40CE4B71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N.A.G.A.: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F83B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Obligatorio</w:t>
            </w:r>
          </w:p>
          <w:p w14:paraId="02AFC288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Voluntario</w:t>
            </w:r>
          </w:p>
          <w:p w14:paraId="2BC69FBE" w14:textId="77777777" w:rsidR="008A42F2" w:rsidRPr="008A42F2" w:rsidRDefault="008A42F2" w:rsidP="008A4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8A42F2">
              <w:rPr>
                <w:rFonts w:eastAsia="Times New Roman" w:cs="Times New Roman"/>
                <w:szCs w:val="24"/>
                <w:lang w:eastAsia="es-CO"/>
              </w:rPr>
              <w:t>Procedimientos de auditoría vigentes</w:t>
            </w:r>
          </w:p>
        </w:tc>
      </w:tr>
    </w:tbl>
    <w:p w14:paraId="3CB8BEB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16798C03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4FFD0989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CONSIDERACIONES Y RESPUESTA</w:t>
      </w:r>
    </w:p>
    <w:p w14:paraId="39639A52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 </w:t>
      </w:r>
    </w:p>
    <w:p w14:paraId="3D24158E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 xml:space="preserve">Dentro del carácter ya indicado, las respuestas del CTCP son de naturaleza general y abstracta, dado que su misión no consiste en resolver problemas específicos que correspondan a un caso particular, según lo dispuesto en el artículo 33 de la Ley 43 de 1990, </w:t>
      </w:r>
      <w:r w:rsidRPr="008A42F2">
        <w:rPr>
          <w:rFonts w:eastAsia="Times New Roman" w:cs="Times New Roman"/>
          <w:szCs w:val="24"/>
          <w:lang w:eastAsia="es-CO"/>
        </w:rPr>
        <w:lastRenderedPageBreak/>
        <w:t>el cual dispone que es función del CTCP pronunciarse sobre la legislación relativa a la aplicación de los principios de contabilidad y el ejercicio de la profesión.</w:t>
      </w:r>
    </w:p>
    <w:p w14:paraId="2C5BB34A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54F9FB64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Con base en las inquietudes formuladas por el peticionario, se procede a dar respuesta a su solicitud en los siguientes términos.</w:t>
      </w:r>
    </w:p>
    <w:p w14:paraId="152E1F8B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257CE6C6" w14:textId="77777777" w:rsid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 xml:space="preserve">1. Respecto a la primera pregunta le informamos que el Decreto 2784 de 2012 estableció "el marco técnico normativo para los preparadores de información financiera que conforman el Grupo 1", y el Decreto 3022 de 2013 estableció “el marco técnico normativo para los preparadores de información financiera que conforman el Grupo </w:t>
      </w:r>
    </w:p>
    <w:p w14:paraId="43ADF426" w14:textId="77777777" w:rsid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037C34D1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2”. Ninguno de estos decretos</w:t>
      </w:r>
      <w:r>
        <w:rPr>
          <w:rFonts w:eastAsia="Times New Roman" w:cs="Times New Roman"/>
          <w:szCs w:val="24"/>
          <w:lang w:eastAsia="es-CO"/>
        </w:rPr>
        <w:t xml:space="preserve"> </w:t>
      </w:r>
      <w:r w:rsidRPr="008A42F2">
        <w:rPr>
          <w:rFonts w:eastAsia="Times New Roman" w:cs="Times New Roman"/>
          <w:szCs w:val="24"/>
          <w:lang w:eastAsia="es-CO"/>
        </w:rPr>
        <w:t>reglamentó las normas de auditoría y aseguramiento de la información aplicables a los revisores fiscales.</w:t>
      </w:r>
    </w:p>
    <w:p w14:paraId="4F02F5B0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3F9850E1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Es el Decreto 302 de 2015 que estableció “el marco técnico normativo para las normas de aseguramiento de la información", cuyo artículo 2º dispone:</w:t>
      </w:r>
    </w:p>
    <w:p w14:paraId="5163AFD0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785CA3DD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“Artículo 2º.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El presente decreto será de aplicación obligatoria por los revisores fiscales que presten sus servicios, a entidades del Grupo 1, y a las</w:t>
      </w:r>
      <w:r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entidades del Grupo 2 que tengan más de 30.000 salarios mínimos mensuales legales vigentes (SMMLV) de activos o, más de 200 trabajadores, en los términos establecidos para tales efectos en los decretos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2784 de 2012 y </w:t>
      </w: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3022 de 2013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y normas posteriores que los modifiquen, adicionen o sustituyan, así como a los revisores fiscales que dictaminen estados financieros consolidados de estas entidades. Las entidades que no pertenezcan al Grupo 1 y que voluntariamente se acogieron a emplear al marco técnico normativo de dicho Grupo, les será aplicable lo dispuesto en el presente artículo". (Negrilla fuera del texto).</w:t>
      </w:r>
    </w:p>
    <w:p w14:paraId="1507454E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52FA8A17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Este artículo establece la obligación para los revisores fiscales aludidos de aplicar las normas establecidas en el artículo 1°, mientras que para los revisores fiscales de las entidades del grupo 2 que tengan </w:t>
      </w:r>
      <w:proofErr w:type="spellStart"/>
      <w:r w:rsidRPr="008A42F2">
        <w:rPr>
          <w:rFonts w:eastAsia="Times New Roman" w:cs="Times New Roman"/>
          <w:szCs w:val="24"/>
          <w:u w:val="single"/>
          <w:lang w:val="en-US" w:eastAsia="es-CO"/>
        </w:rPr>
        <w:t>menos</w:t>
      </w:r>
      <w:proofErr w:type="spellEnd"/>
      <w:r w:rsidRPr="008A42F2">
        <w:rPr>
          <w:rFonts w:eastAsia="Times New Roman" w:cs="Times New Roman"/>
          <w:szCs w:val="24"/>
          <w:lang w:eastAsia="es-CO"/>
        </w:rPr>
        <w:t> de 30.000 salarios mínimos mensuales legales vigentes (SMMLV) o </w:t>
      </w:r>
      <w:proofErr w:type="spellStart"/>
      <w:r w:rsidRPr="008A42F2">
        <w:rPr>
          <w:rFonts w:eastAsia="Times New Roman" w:cs="Times New Roman"/>
          <w:szCs w:val="24"/>
          <w:u w:val="single"/>
          <w:lang w:val="en-US" w:eastAsia="es-CO"/>
        </w:rPr>
        <w:t>menos</w:t>
      </w:r>
      <w:proofErr w:type="spellEnd"/>
      <w:r w:rsidRPr="008A42F2">
        <w:rPr>
          <w:rFonts w:eastAsia="Times New Roman" w:cs="Times New Roman"/>
          <w:szCs w:val="24"/>
          <w:lang w:eastAsia="es-CO"/>
        </w:rPr>
        <w:t> de 200 trabajadores, y para los revisores fiscales del grupo 3 establece la observancia de dichas normas, excepto las Normas Internacionales de Auditoría (NIA).</w:t>
      </w:r>
    </w:p>
    <w:p w14:paraId="70907C81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72054D22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2. En relación con la segunda y tercera preguntas, el artículo 7º del Decreto 302 de 2015 establece:</w:t>
      </w:r>
    </w:p>
    <w:p w14:paraId="506CFD53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003F2941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"Artículo 7º.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Los Contadores Públicos que presten servicios de revisoría fiscal, auditoría de información financiera, revisión de información financiera histórica u otros trabajos de aseguramiento, aplicarán en sus actuaciones profesionales las NICC, anexas a este Decreto”.</w:t>
      </w:r>
    </w:p>
    <w:p w14:paraId="121E5CC3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i/>
          <w:iCs/>
          <w:szCs w:val="24"/>
          <w:lang w:eastAsia="es-CO"/>
        </w:rPr>
        <w:t> </w:t>
      </w:r>
    </w:p>
    <w:p w14:paraId="31D95685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El artículo anterior establece la obligatoriedad de aplicar las Normas Internacionales de Control de Calidad (NICC) a los contadores públicos que presten los servicios enumerados en el mencionado artículo.</w:t>
      </w:r>
    </w:p>
    <w:p w14:paraId="79D8FE91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14AAF352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3. Respecto de sus preguntas 4º y 5º, el artículo 8º del Decreto 302 de 2015 dispone:</w:t>
      </w:r>
    </w:p>
    <w:p w14:paraId="7D4540F7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val="es-ES" w:eastAsia="es-CO"/>
        </w:rPr>
        <w:t> </w:t>
      </w:r>
    </w:p>
    <w:p w14:paraId="64DA3C10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i/>
          <w:iCs/>
          <w:szCs w:val="24"/>
          <w:lang w:eastAsia="es-CO"/>
        </w:rPr>
        <w:t>“Artículo 8º.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Los Contadores Públicos que realicen trabajos de auditoría de información financiera, revisión de información financiera histórica, otros trabajos de aseguramiento u otros servicios profesionales, aplicarán las NIA, las NITR, las ISAE o las NISR, contenidas en el anexo del presente decreto, según corresponda”.</w:t>
      </w:r>
    </w:p>
    <w:p w14:paraId="233F273A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48D0A7BF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Teniendo en cuenta el artículo antes mencionado, las </w:t>
      </w:r>
      <w:r w:rsidRPr="008A42F2">
        <w:rPr>
          <w:rFonts w:eastAsia="Times New Roman" w:cs="Times New Roman"/>
          <w:i/>
          <w:iCs/>
          <w:szCs w:val="24"/>
          <w:lang w:eastAsia="es-CO"/>
        </w:rPr>
        <w:t>NIA, NITR, ISAE </w:t>
      </w:r>
      <w:r w:rsidRPr="008A42F2">
        <w:rPr>
          <w:rFonts w:eastAsia="Times New Roman" w:cs="Times New Roman"/>
          <w:szCs w:val="24"/>
          <w:lang w:eastAsia="es-CO"/>
        </w:rPr>
        <w:t>y NISR son de obligatoria aplicación por todos los contadores públicos independientes que realicen los trabajos a los que alude el referido artículo 8º.</w:t>
      </w:r>
    </w:p>
    <w:p w14:paraId="07C035C3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lastRenderedPageBreak/>
        <w:t> </w:t>
      </w:r>
    </w:p>
    <w:p w14:paraId="73DB387A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4. En referencia a su 6º pregunta, le manifestamos que la expresión “o las NISR” hace referencia a las normas que se deben aplicar cuando se realizan trabajos que versen con:</w:t>
      </w:r>
    </w:p>
    <w:p w14:paraId="3C129AD4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30CA9042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a) procedimientos convenidos relativos a información financiera, y</w:t>
      </w:r>
    </w:p>
    <w:p w14:paraId="660CF443" w14:textId="77777777" w:rsid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</w:p>
    <w:p w14:paraId="1A03A8B3" w14:textId="77777777" w:rsidR="008A42F2" w:rsidRPr="008A42F2" w:rsidRDefault="008A42F2" w:rsidP="008A42F2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bookmarkStart w:id="3" w:name="_GoBack"/>
      <w:bookmarkEnd w:id="3"/>
      <w:r w:rsidRPr="008A42F2">
        <w:rPr>
          <w:rFonts w:eastAsia="Times New Roman" w:cs="Times New Roman"/>
          <w:szCs w:val="24"/>
          <w:lang w:eastAsia="es-CO"/>
        </w:rPr>
        <w:t>b) trabajos para compilar información financiera.</w:t>
      </w:r>
    </w:p>
    <w:p w14:paraId="196BA642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51D5F38A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5. Con respecto a su 7º solicitud relacionada con el diligenciamiento del cuadro remitido del cual pide interpretación, le manifestamos que las respuestas de los puntos 1º a 5º le permitirán al consultante diligenciarlo debidamente.</w:t>
      </w:r>
    </w:p>
    <w:p w14:paraId="17ECCC81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726E1C65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En los términos anteriores se absuelve la consulta, indicando que para hacerlo, este organismo se ciñó a la información presentada por el consultante y los efectos de este escrito son los previstos por el artículo 28 del Código de Procedimiento Administrativo y de lo Contencioso Administrativo, los conceptos emitidos por las autoridades como respuestas a peticiones realizadas en ejercicio del derecho a formular consultas no serán de obligatorio cumplimiento o ejecución.</w:t>
      </w:r>
    </w:p>
    <w:p w14:paraId="05443CFD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25E477C6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Cordialmente,</w:t>
      </w:r>
    </w:p>
    <w:p w14:paraId="48D3B3CE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7CA5CD9C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 </w:t>
      </w:r>
    </w:p>
    <w:p w14:paraId="7FCDC976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b/>
          <w:bCs/>
          <w:szCs w:val="24"/>
          <w:lang w:eastAsia="es-CO"/>
        </w:rPr>
        <w:t>GABRIEL SUÁREZ CORTÉS</w:t>
      </w:r>
    </w:p>
    <w:p w14:paraId="14B6B45F" w14:textId="77777777" w:rsidR="008A42F2" w:rsidRPr="008A42F2" w:rsidRDefault="008A42F2" w:rsidP="008A42F2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8A42F2">
        <w:rPr>
          <w:rFonts w:eastAsia="Times New Roman" w:cs="Times New Roman"/>
          <w:szCs w:val="24"/>
          <w:lang w:eastAsia="es-CO"/>
        </w:rPr>
        <w:t>Consejero del Consejo Técnico de la Contaduría Pública</w:t>
      </w:r>
    </w:p>
    <w:p w14:paraId="403267C5" w14:textId="77777777" w:rsidR="00961BFA" w:rsidRPr="008A42F2" w:rsidRDefault="00961BFA">
      <w:pPr>
        <w:rPr>
          <w:rFonts w:cs="Times New Roman"/>
          <w:szCs w:val="24"/>
        </w:rPr>
      </w:pPr>
    </w:p>
    <w:sectPr w:rsidR="00961BFA" w:rsidRPr="008A42F2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F2"/>
    <w:rsid w:val="0029351E"/>
    <w:rsid w:val="008A42F2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B9C8DE8"/>
  <w15:chartTrackingRefBased/>
  <w15:docId w15:val="{87F64F80-85EF-4817-8AE5-003B994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dpri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2016-01-19T16:34:00Z</dcterms:created>
  <dcterms:modified xsi:type="dcterms:W3CDTF">2016-01-19T16:48:00Z</dcterms:modified>
</cp:coreProperties>
</file>